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285B1">
      <w:pPr>
        <w:spacing w:before="480" w:after="480" w:line="288" w:lineRule="auto"/>
        <w:ind w:left="0"/>
        <w:jc w:val="left"/>
        <w:rPr>
          <w:rFonts w:ascii="Arial" w:hAnsi="Arial" w:eastAsia="等线" w:cs="Arial"/>
          <w:b/>
          <w:sz w:val="30"/>
          <w:szCs w:val="30"/>
        </w:rPr>
      </w:pPr>
      <w:r>
        <w:rPr>
          <w:rFonts w:ascii="Arial" w:hAnsi="Arial" w:eastAsia="等线" w:cs="Arial"/>
          <w:b/>
          <w:sz w:val="30"/>
          <w:szCs w:val="30"/>
        </w:rPr>
        <w:t xml:space="preserve">Lonzone Topping Compound </w:t>
      </w:r>
    </w:p>
    <w:p w14:paraId="3A82E95C">
      <w:pPr>
        <w:spacing w:before="480" w:after="480" w:line="288" w:lineRule="auto"/>
        <w:ind w:left="0"/>
        <w:jc w:val="left"/>
        <w:rPr>
          <w:sz w:val="30"/>
          <w:szCs w:val="30"/>
        </w:rPr>
      </w:pPr>
      <w:r>
        <w:rPr>
          <w:rFonts w:ascii="Arial" w:hAnsi="Arial" w:eastAsia="等线" w:cs="Arial"/>
          <w:b/>
          <w:sz w:val="30"/>
          <w:szCs w:val="30"/>
        </w:rPr>
        <w:t>Product Data Sheet</w:t>
      </w:r>
    </w:p>
    <w:p w14:paraId="188C75C7">
      <w:pPr>
        <w:spacing w:before="380" w:after="140" w:line="288" w:lineRule="auto"/>
        <w:ind w:left="0"/>
        <w:jc w:val="left"/>
        <w:outlineLvl w:val="0"/>
      </w:pPr>
      <w:bookmarkStart w:id="0" w:name="heading_0"/>
      <w:r>
        <w:rPr>
          <w:rFonts w:ascii="Arial" w:hAnsi="Arial" w:eastAsia="等线" w:cs="Arial"/>
          <w:b/>
          <w:sz w:val="36"/>
        </w:rPr>
        <w:t>Product Description</w:t>
      </w:r>
      <w:bookmarkEnd w:id="0"/>
    </w:p>
    <w:p w14:paraId="10A4AB12">
      <w:pPr>
        <w:spacing w:before="120" w:after="120" w:line="288" w:lineRule="auto"/>
        <w:ind w:left="0"/>
        <w:jc w:val="left"/>
      </w:pPr>
      <w:r>
        <w:rPr>
          <w:rFonts w:ascii="Arial" w:hAnsi="Arial" w:eastAsia="等线" w:cs="Arial"/>
          <w:sz w:val="22"/>
        </w:rPr>
        <w:t>Lonzone Topping Compound is a premium quality, pre-mixed, semi-lightweight topping compound designed for exceptional flow and workability. It delivers a smooth, even finish with excellent sandability and paintability, making it ideal for professional drywall finishing applications.</w:t>
      </w:r>
    </w:p>
    <w:p w14:paraId="4D403106">
      <w:pPr>
        <w:spacing w:before="120" w:after="120" w:line="288" w:lineRule="auto"/>
        <w:ind w:left="0"/>
        <w:jc w:val="left"/>
      </w:pPr>
      <w:r>
        <w:rPr>
          <w:rFonts w:ascii="Arial" w:hAnsi="Arial" w:eastAsia="等线" w:cs="Arial"/>
          <w:sz w:val="22"/>
        </w:rPr>
        <w:t>This ready-to-use finishing compound is formulated to provide superior coverage and a creamy consistency that allows for easy application and feathering. Lonzone Topping Compound is specifically engineered for the final coat in a three-coat drywall jointing system.</w:t>
      </w:r>
    </w:p>
    <w:p w14:paraId="313CC46F">
      <w:pPr>
        <w:spacing w:before="380" w:after="140" w:line="288" w:lineRule="auto"/>
        <w:ind w:left="0"/>
        <w:jc w:val="left"/>
        <w:outlineLvl w:val="0"/>
      </w:pPr>
      <w:bookmarkStart w:id="1" w:name="heading_1"/>
      <w:r>
        <w:rPr>
          <w:rFonts w:ascii="Arial" w:hAnsi="Arial" w:eastAsia="等线" w:cs="Arial"/>
          <w:b/>
          <w:sz w:val="36"/>
        </w:rPr>
        <w:t>Recommended Use</w:t>
      </w:r>
      <w:bookmarkEnd w:id="1"/>
    </w:p>
    <w:p w14:paraId="2D932EC7">
      <w:pPr>
        <w:spacing w:before="120" w:after="120" w:line="288" w:lineRule="auto"/>
        <w:ind w:left="0"/>
        <w:jc w:val="left"/>
      </w:pPr>
      <w:r>
        <w:rPr>
          <w:rFonts w:ascii="Arial" w:hAnsi="Arial" w:eastAsia="等线" w:cs="Arial"/>
          <w:sz w:val="22"/>
        </w:rPr>
        <w:t>Lonzone Topping Compound is used as a top coat in a three-coat drywall jointing system, suitable for finishing gypsum board and fibre cement joints, internal angles, and fastener heads in residential and commercial walls and ceilings.</w:t>
      </w:r>
    </w:p>
    <w:p w14:paraId="621A294D">
      <w:pPr>
        <w:spacing w:before="120" w:after="120" w:line="288" w:lineRule="auto"/>
        <w:ind w:left="0"/>
        <w:jc w:val="left"/>
      </w:pPr>
      <w:r>
        <w:rPr>
          <w:rFonts w:ascii="Arial" w:hAnsi="Arial" w:eastAsia="等线" w:cs="Arial"/>
          <w:sz w:val="22"/>
        </w:rPr>
        <w:t>While Lonzone Topping Compound can be hand applied, it has exceptional flow when applied through a finishing box for maximum efficiency. For optimal results, it is recommended that Lonzone Topping Compound be used in conjunction with Lonzone Base Coat or All-Purpose Joint Compounds.</w:t>
      </w:r>
    </w:p>
    <w:p w14:paraId="2B3AD5CD">
      <w:pPr>
        <w:spacing w:before="380" w:after="140" w:line="288" w:lineRule="auto"/>
        <w:ind w:left="0"/>
        <w:jc w:val="left"/>
        <w:outlineLvl w:val="0"/>
      </w:pPr>
      <w:bookmarkStart w:id="2" w:name="heading_2"/>
      <w:r>
        <w:rPr>
          <w:rFonts w:ascii="Arial" w:hAnsi="Arial" w:eastAsia="等线" w:cs="Arial"/>
          <w:b/>
          <w:sz w:val="36"/>
        </w:rPr>
        <w:t>Important Notes</w:t>
      </w:r>
      <w:bookmarkEnd w:id="2"/>
    </w:p>
    <w:p w14:paraId="5EEDD2E1">
      <w:pPr>
        <w:numPr>
          <w:ilvl w:val="0"/>
          <w:numId w:val="1"/>
        </w:numPr>
        <w:spacing w:before="120" w:after="120" w:line="288" w:lineRule="auto"/>
        <w:ind w:left="0"/>
        <w:jc w:val="left"/>
      </w:pPr>
      <w:r>
        <w:rPr>
          <w:rFonts w:ascii="Arial" w:hAnsi="Arial" w:eastAsia="等线" w:cs="Arial"/>
          <w:sz w:val="22"/>
        </w:rPr>
        <w:t>Do not use for bedding tape or laminating drywall sheets</w:t>
      </w:r>
    </w:p>
    <w:p w14:paraId="20C463E4">
      <w:pPr>
        <w:numPr>
          <w:ilvl w:val="0"/>
          <w:numId w:val="2"/>
        </w:numPr>
        <w:spacing w:before="120" w:after="120" w:line="288" w:lineRule="auto"/>
        <w:ind w:left="0"/>
        <w:jc w:val="left"/>
      </w:pPr>
      <w:r>
        <w:rPr>
          <w:rFonts w:ascii="Arial" w:hAnsi="Arial" w:eastAsia="等线" w:cs="Arial"/>
          <w:sz w:val="22"/>
        </w:rPr>
        <w:t>In wet area applications, topping compounds should not be used on areas to be tiled</w:t>
      </w:r>
    </w:p>
    <w:p w14:paraId="4C53FC25">
      <w:pPr>
        <w:numPr>
          <w:ilvl w:val="0"/>
          <w:numId w:val="3"/>
        </w:numPr>
        <w:spacing w:before="120" w:after="120" w:line="288" w:lineRule="auto"/>
        <w:ind w:left="0"/>
        <w:jc w:val="left"/>
      </w:pPr>
      <w:r>
        <w:rPr>
          <w:rFonts w:ascii="Arial" w:hAnsi="Arial" w:eastAsia="等线" w:cs="Arial"/>
          <w:sz w:val="22"/>
        </w:rPr>
        <w:t>Lonzone Topping Compound can be thinned sparingly with clean water if required</w:t>
      </w:r>
    </w:p>
    <w:p w14:paraId="4F0630EA">
      <w:pPr>
        <w:numPr>
          <w:ilvl w:val="0"/>
          <w:numId w:val="4"/>
        </w:numPr>
        <w:spacing w:before="120" w:after="120" w:line="288" w:lineRule="auto"/>
        <w:ind w:left="0"/>
        <w:jc w:val="left"/>
      </w:pPr>
      <w:r>
        <w:rPr>
          <w:rFonts w:ascii="Arial" w:hAnsi="Arial" w:eastAsia="等线" w:cs="Arial"/>
          <w:sz w:val="22"/>
        </w:rPr>
        <w:t>Do not apply setting-type compounds over Lonzone Topping Compound</w:t>
      </w:r>
    </w:p>
    <w:p w14:paraId="2430EE21">
      <w:pPr>
        <w:numPr>
          <w:ilvl w:val="0"/>
          <w:numId w:val="5"/>
        </w:numPr>
        <w:spacing w:before="120" w:after="120" w:line="288" w:lineRule="auto"/>
        <w:ind w:left="0"/>
        <w:jc w:val="left"/>
      </w:pPr>
      <w:r>
        <w:rPr>
          <w:rFonts w:ascii="Arial" w:hAnsi="Arial" w:eastAsia="等线" w:cs="Arial"/>
          <w:sz w:val="22"/>
        </w:rPr>
        <w:t xml:space="preserve">Should not be used when the interior lining temperature is less than </w:t>
      </w:r>
      <w:r>
        <w:rPr>
          <w:rFonts w:hint="eastAsia" w:ascii="Arial" w:hAnsi="Arial" w:eastAsia="等线" w:cs="Arial"/>
          <w:sz w:val="22"/>
          <w:lang w:val="en-US" w:eastAsia="zh-CN"/>
        </w:rPr>
        <w:t>8</w:t>
      </w:r>
      <w:r>
        <w:rPr>
          <w:rFonts w:ascii="Arial" w:hAnsi="Arial" w:eastAsia="等线" w:cs="Arial"/>
          <w:sz w:val="22"/>
        </w:rPr>
        <w:t>°C</w:t>
      </w:r>
    </w:p>
    <w:p w14:paraId="403BE5EA">
      <w:pPr>
        <w:numPr>
          <w:ilvl w:val="0"/>
          <w:numId w:val="6"/>
        </w:numPr>
        <w:spacing w:before="120" w:after="120" w:line="288" w:lineRule="auto"/>
        <w:ind w:left="0"/>
        <w:jc w:val="left"/>
      </w:pPr>
      <w:r>
        <w:rPr>
          <w:rFonts w:ascii="Arial" w:hAnsi="Arial" w:eastAsia="等线" w:cs="Arial"/>
          <w:sz w:val="22"/>
        </w:rPr>
        <w:t>Ensure surfaces are clean from dust, dirt, or grease</w:t>
      </w:r>
    </w:p>
    <w:p w14:paraId="505363A9">
      <w:pPr>
        <w:numPr>
          <w:ilvl w:val="0"/>
          <w:numId w:val="7"/>
        </w:numPr>
        <w:spacing w:before="120" w:after="120" w:line="288" w:lineRule="auto"/>
        <w:ind w:left="0"/>
        <w:jc w:val="left"/>
      </w:pPr>
      <w:r>
        <w:rPr>
          <w:rFonts w:ascii="Arial" w:hAnsi="Arial" w:eastAsia="等线" w:cs="Arial"/>
          <w:sz w:val="22"/>
        </w:rPr>
        <w:t>Before use, remix to a smooth creamy consistency</w:t>
      </w:r>
    </w:p>
    <w:p w14:paraId="08C2E0FA">
      <w:pPr>
        <w:numPr>
          <w:ilvl w:val="0"/>
          <w:numId w:val="8"/>
        </w:numPr>
        <w:spacing w:before="120" w:after="120" w:line="288" w:lineRule="auto"/>
        <w:ind w:left="0"/>
        <w:jc w:val="left"/>
      </w:pPr>
      <w:r>
        <w:rPr>
          <w:rFonts w:ascii="Arial" w:hAnsi="Arial" w:eastAsia="等线" w:cs="Arial"/>
          <w:sz w:val="22"/>
        </w:rPr>
        <w:t>Always use clean containers and equipment</w:t>
      </w:r>
    </w:p>
    <w:p w14:paraId="36DE7F4F">
      <w:pPr>
        <w:numPr>
          <w:ilvl w:val="0"/>
          <w:numId w:val="9"/>
        </w:numPr>
        <w:spacing w:before="120" w:after="120" w:line="288" w:lineRule="auto"/>
        <w:ind w:left="0"/>
        <w:jc w:val="left"/>
      </w:pPr>
      <w:r>
        <w:rPr>
          <w:rFonts w:ascii="Arial" w:hAnsi="Arial" w:eastAsia="等线" w:cs="Arial"/>
          <w:sz w:val="22"/>
        </w:rPr>
        <w:t>Thoroughly clean tools immediately after use</w:t>
      </w:r>
    </w:p>
    <w:p w14:paraId="0E5D4945">
      <w:pPr>
        <w:numPr>
          <w:ilvl w:val="0"/>
          <w:numId w:val="10"/>
        </w:numPr>
        <w:spacing w:before="120" w:after="120" w:line="288" w:lineRule="auto"/>
        <w:ind w:left="0"/>
        <w:jc w:val="left"/>
      </w:pPr>
      <w:r>
        <w:rPr>
          <w:rFonts w:ascii="Arial" w:hAnsi="Arial" w:eastAsia="等线" w:cs="Arial"/>
          <w:sz w:val="22"/>
        </w:rPr>
        <w:t>Replace lid tightly when not in use</w:t>
      </w:r>
    </w:p>
    <w:p w14:paraId="0509FFED">
      <w:pPr>
        <w:spacing w:before="380" w:after="140" w:line="288" w:lineRule="auto"/>
        <w:ind w:left="0"/>
        <w:jc w:val="left"/>
        <w:outlineLvl w:val="0"/>
      </w:pPr>
      <w:bookmarkStart w:id="3" w:name="heading_3"/>
      <w:r>
        <w:rPr>
          <w:rFonts w:ascii="Arial" w:hAnsi="Arial" w:eastAsia="等线" w:cs="Arial"/>
          <w:b/>
          <w:sz w:val="36"/>
        </w:rPr>
        <w:t>Storage</w:t>
      </w:r>
      <w:bookmarkEnd w:id="3"/>
    </w:p>
    <w:p w14:paraId="386BC340">
      <w:pPr>
        <w:spacing w:before="120" w:after="120" w:line="288" w:lineRule="auto"/>
        <w:ind w:left="0"/>
        <w:jc w:val="left"/>
      </w:pPr>
      <w:r>
        <w:rPr>
          <w:rFonts w:ascii="Arial" w:hAnsi="Arial" w:eastAsia="等线" w:cs="Arial"/>
          <w:sz w:val="22"/>
        </w:rPr>
        <w:t>Store pails of compound in a dry environment out of direct sunlight. Protect from freezing. Remove lid and stir thoroughly prior to use. Unused product should be stored by resealing the original pail. Remix prior to use. Discard if drying has commenced or if product shows signs of spoilage.</w:t>
      </w:r>
    </w:p>
    <w:p w14:paraId="4E1B0622">
      <w:pPr>
        <w:spacing w:before="380" w:after="140" w:line="288" w:lineRule="auto"/>
        <w:ind w:left="0"/>
        <w:jc w:val="left"/>
        <w:outlineLvl w:val="0"/>
      </w:pPr>
      <w:bookmarkStart w:id="4" w:name="heading_4"/>
      <w:r>
        <w:rPr>
          <w:rFonts w:ascii="Arial" w:hAnsi="Arial" w:eastAsia="等线" w:cs="Arial"/>
          <w:b/>
          <w:sz w:val="36"/>
        </w:rPr>
        <w:t>Product Features</w:t>
      </w:r>
      <w:bookmarkEnd w:id="4"/>
    </w:p>
    <w:p w14:paraId="00F98BBC">
      <w:pPr>
        <w:numPr>
          <w:ilvl w:val="0"/>
          <w:numId w:val="11"/>
        </w:numPr>
        <w:spacing w:before="120" w:after="120" w:line="288" w:lineRule="auto"/>
        <w:ind w:left="0"/>
        <w:jc w:val="left"/>
      </w:pPr>
      <w:r>
        <w:rPr>
          <w:rFonts w:ascii="Arial" w:hAnsi="Arial" w:eastAsia="等线" w:cs="Arial"/>
          <w:b/>
          <w:sz w:val="22"/>
        </w:rPr>
        <w:t>Exceptional Flow</w:t>
      </w:r>
      <w:r>
        <w:rPr>
          <w:rFonts w:ascii="Arial" w:hAnsi="Arial" w:eastAsia="等线" w:cs="Arial"/>
          <w:sz w:val="22"/>
        </w:rPr>
        <w:t xml:space="preserve"> — Ideal for both hand and machine application</w:t>
      </w:r>
    </w:p>
    <w:p w14:paraId="14D45111">
      <w:pPr>
        <w:numPr>
          <w:ilvl w:val="0"/>
          <w:numId w:val="12"/>
        </w:numPr>
        <w:spacing w:before="120" w:after="120" w:line="288" w:lineRule="auto"/>
        <w:ind w:left="0"/>
        <w:jc w:val="left"/>
      </w:pPr>
      <w:r>
        <w:rPr>
          <w:rFonts w:ascii="Arial" w:hAnsi="Arial" w:eastAsia="等线" w:cs="Arial"/>
          <w:b/>
          <w:sz w:val="22"/>
        </w:rPr>
        <w:t>Pre-mixed &amp; Ready to Use</w:t>
      </w:r>
      <w:r>
        <w:rPr>
          <w:rFonts w:ascii="Arial" w:hAnsi="Arial" w:eastAsia="等线" w:cs="Arial"/>
          <w:sz w:val="22"/>
        </w:rPr>
        <w:t xml:space="preserve"> — Smooth consistency is quick to prepare and easy to apply</w:t>
      </w:r>
    </w:p>
    <w:p w14:paraId="6DE3FF59">
      <w:pPr>
        <w:numPr>
          <w:ilvl w:val="0"/>
          <w:numId w:val="13"/>
        </w:numPr>
        <w:spacing w:before="120" w:after="120" w:line="288" w:lineRule="auto"/>
        <w:ind w:left="0"/>
        <w:jc w:val="left"/>
      </w:pPr>
      <w:r>
        <w:rPr>
          <w:rFonts w:ascii="Arial" w:hAnsi="Arial" w:eastAsia="等线" w:cs="Arial"/>
          <w:b/>
          <w:sz w:val="22"/>
        </w:rPr>
        <w:t>Grit Free Formula</w:t>
      </w:r>
      <w:r>
        <w:rPr>
          <w:rFonts w:ascii="Arial" w:hAnsi="Arial" w:eastAsia="等线" w:cs="Arial"/>
          <w:sz w:val="22"/>
        </w:rPr>
        <w:t xml:space="preserve"> — Delivers a perfectly smooth finish with excellent sandability</w:t>
      </w:r>
    </w:p>
    <w:p w14:paraId="6CDAC7C2">
      <w:pPr>
        <w:numPr>
          <w:ilvl w:val="0"/>
          <w:numId w:val="14"/>
        </w:numPr>
        <w:spacing w:before="120" w:after="120" w:line="288" w:lineRule="auto"/>
        <w:ind w:left="0"/>
        <w:jc w:val="left"/>
      </w:pPr>
      <w:r>
        <w:rPr>
          <w:rFonts w:ascii="Arial" w:hAnsi="Arial" w:eastAsia="等线" w:cs="Arial"/>
          <w:b/>
          <w:sz w:val="22"/>
        </w:rPr>
        <w:t>Superior Paintability</w:t>
      </w:r>
      <w:r>
        <w:rPr>
          <w:rFonts w:ascii="Arial" w:hAnsi="Arial" w:eastAsia="等线" w:cs="Arial"/>
          <w:sz w:val="22"/>
        </w:rPr>
        <w:t xml:space="preserve"> — Provides an excellent base for paint application</w:t>
      </w:r>
    </w:p>
    <w:p w14:paraId="71D2BC04">
      <w:pPr>
        <w:numPr>
          <w:ilvl w:val="0"/>
          <w:numId w:val="15"/>
        </w:numPr>
        <w:spacing w:before="120" w:after="120" w:line="288" w:lineRule="auto"/>
        <w:ind w:left="0"/>
        <w:jc w:val="left"/>
      </w:pPr>
      <w:r>
        <w:rPr>
          <w:rFonts w:ascii="Arial" w:hAnsi="Arial" w:eastAsia="等线" w:cs="Arial"/>
          <w:b/>
          <w:sz w:val="22"/>
        </w:rPr>
        <w:t>Low Shrinkage</w:t>
      </w:r>
      <w:r>
        <w:rPr>
          <w:rFonts w:ascii="Arial" w:hAnsi="Arial" w:eastAsia="等线" w:cs="Arial"/>
          <w:sz w:val="22"/>
        </w:rPr>
        <w:t xml:space="preserve"> — Minimizes cracking and requires less sanding</w:t>
      </w:r>
    </w:p>
    <w:p w14:paraId="442F0451">
      <w:pPr>
        <w:numPr>
          <w:ilvl w:val="0"/>
          <w:numId w:val="16"/>
        </w:numPr>
        <w:spacing w:before="120" w:after="120" w:line="288" w:lineRule="auto"/>
        <w:ind w:left="0"/>
        <w:jc w:val="left"/>
      </w:pPr>
      <w:r>
        <w:rPr>
          <w:rFonts w:ascii="Arial" w:hAnsi="Arial" w:eastAsia="等线" w:cs="Arial"/>
          <w:b/>
          <w:sz w:val="22"/>
        </w:rPr>
        <w:t>Low VOC</w:t>
      </w:r>
      <w:r>
        <w:rPr>
          <w:rFonts w:ascii="Arial" w:hAnsi="Arial" w:eastAsia="等线" w:cs="Arial"/>
          <w:sz w:val="22"/>
        </w:rPr>
        <w:t xml:space="preserve"> — Meets strict environmental standards</w:t>
      </w:r>
    </w:p>
    <w:p w14:paraId="4134C3DE">
      <w:pPr>
        <w:spacing w:before="380" w:after="140" w:line="288" w:lineRule="auto"/>
        <w:ind w:left="0"/>
        <w:jc w:val="left"/>
        <w:outlineLvl w:val="0"/>
      </w:pPr>
      <w:bookmarkStart w:id="5" w:name="heading_5"/>
      <w:r>
        <w:rPr>
          <w:rFonts w:ascii="Arial" w:hAnsi="Arial" w:eastAsia="等线" w:cs="Arial"/>
          <w:b/>
          <w:sz w:val="36"/>
        </w:rPr>
        <w:t>Product Specifications</w:t>
      </w:r>
      <w:bookmarkEnd w:id="5"/>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655"/>
        <w:gridCol w:w="5625"/>
      </w:tblGrid>
      <w:tr w14:paraId="7AC6BF4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7B50A675">
            <w:pPr>
              <w:spacing w:before="120" w:after="120" w:line="288" w:lineRule="auto"/>
              <w:ind w:left="0"/>
              <w:jc w:val="left"/>
            </w:pPr>
            <w:r>
              <w:rPr>
                <w:rFonts w:ascii="Arial" w:hAnsi="Arial" w:eastAsia="等线" w:cs="Arial"/>
                <w:sz w:val="22"/>
              </w:rPr>
              <w:t>Feature</w:t>
            </w:r>
          </w:p>
        </w:tc>
        <w:tc>
          <w:tcPr>
            <w:tcW w:w="5625" w:type="dxa"/>
            <w:tcMar>
              <w:top w:w="60" w:type="dxa"/>
              <w:left w:w="120" w:type="dxa"/>
              <w:bottom w:w="30" w:type="dxa"/>
              <w:right w:w="120" w:type="dxa"/>
            </w:tcMar>
          </w:tcPr>
          <w:p w14:paraId="3B9D96F1">
            <w:pPr>
              <w:spacing w:before="120" w:after="120" w:line="288" w:lineRule="auto"/>
              <w:ind w:left="0"/>
              <w:jc w:val="left"/>
            </w:pPr>
            <w:r>
              <w:rPr>
                <w:rFonts w:ascii="Arial" w:hAnsi="Arial" w:eastAsia="等线" w:cs="Arial"/>
                <w:sz w:val="22"/>
              </w:rPr>
              <w:t>Description</w:t>
            </w:r>
          </w:p>
        </w:tc>
      </w:tr>
      <w:tr w14:paraId="39874C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0A542E57">
            <w:pPr>
              <w:spacing w:before="120" w:after="120" w:line="288" w:lineRule="auto"/>
              <w:ind w:left="0"/>
              <w:jc w:val="left"/>
            </w:pPr>
            <w:r>
              <w:rPr>
                <w:rFonts w:ascii="Arial" w:hAnsi="Arial" w:eastAsia="等线" w:cs="Arial"/>
                <w:sz w:val="22"/>
              </w:rPr>
              <w:t>Colour</w:t>
            </w:r>
          </w:p>
        </w:tc>
        <w:tc>
          <w:tcPr>
            <w:tcW w:w="5625" w:type="dxa"/>
            <w:tcMar>
              <w:top w:w="60" w:type="dxa"/>
              <w:left w:w="120" w:type="dxa"/>
              <w:bottom w:w="30" w:type="dxa"/>
              <w:right w:w="120" w:type="dxa"/>
            </w:tcMar>
          </w:tcPr>
          <w:p w14:paraId="10F65B21">
            <w:pPr>
              <w:spacing w:before="120" w:after="120" w:line="288" w:lineRule="auto"/>
              <w:ind w:left="0"/>
              <w:jc w:val="left"/>
            </w:pPr>
            <w:r>
              <w:rPr>
                <w:rFonts w:ascii="Arial" w:hAnsi="Arial" w:eastAsia="等线" w:cs="Arial"/>
                <w:sz w:val="22"/>
              </w:rPr>
              <w:t>Off White</w:t>
            </w:r>
          </w:p>
        </w:tc>
      </w:tr>
      <w:tr w14:paraId="1AB60BC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675F6DC1">
            <w:pPr>
              <w:spacing w:before="120" w:after="120" w:line="288" w:lineRule="auto"/>
              <w:ind w:left="0"/>
              <w:jc w:val="left"/>
            </w:pPr>
            <w:r>
              <w:rPr>
                <w:rFonts w:ascii="Arial" w:hAnsi="Arial" w:eastAsia="等线" w:cs="Arial"/>
                <w:sz w:val="22"/>
              </w:rPr>
              <w:t>Coverage</w:t>
            </w:r>
          </w:p>
        </w:tc>
        <w:tc>
          <w:tcPr>
            <w:tcW w:w="5625" w:type="dxa"/>
            <w:tcMar>
              <w:top w:w="60" w:type="dxa"/>
              <w:left w:w="120" w:type="dxa"/>
              <w:bottom w:w="30" w:type="dxa"/>
              <w:right w:w="120" w:type="dxa"/>
            </w:tcMar>
          </w:tcPr>
          <w:p w14:paraId="5604C285">
            <w:pPr>
              <w:spacing w:before="120" w:after="120" w:line="288" w:lineRule="auto"/>
              <w:ind w:left="0"/>
              <w:jc w:val="left"/>
            </w:pPr>
            <w:r>
              <w:rPr>
                <w:rFonts w:ascii="Arial" w:hAnsi="Arial" w:eastAsia="等线" w:cs="Arial"/>
                <w:sz w:val="22"/>
              </w:rPr>
              <w:t xml:space="preserve">Approximately </w:t>
            </w:r>
            <w:r>
              <w:rPr>
                <w:rFonts w:hint="eastAsia" w:ascii="Arial" w:hAnsi="Arial" w:eastAsia="等线" w:cs="Arial"/>
                <w:sz w:val="22"/>
                <w:lang w:val="en-US" w:eastAsia="zh-CN"/>
              </w:rPr>
              <w:t>9</w:t>
            </w:r>
            <w:r>
              <w:rPr>
                <w:rFonts w:ascii="Arial" w:hAnsi="Arial" w:eastAsia="等线" w:cs="Arial"/>
                <w:sz w:val="22"/>
              </w:rPr>
              <w:t>-1</w:t>
            </w:r>
            <w:r>
              <w:rPr>
                <w:rFonts w:hint="eastAsia" w:ascii="Arial" w:hAnsi="Arial" w:eastAsia="等线" w:cs="Arial"/>
                <w:sz w:val="22"/>
                <w:lang w:val="en-US" w:eastAsia="zh-CN"/>
              </w:rPr>
              <w:t>1</w:t>
            </w:r>
            <w:bookmarkStart w:id="14" w:name="_GoBack"/>
            <w:bookmarkEnd w:id="14"/>
            <w:r>
              <w:rPr>
                <w:rFonts w:ascii="Arial" w:hAnsi="Arial" w:eastAsia="等线" w:cs="Arial"/>
                <w:sz w:val="22"/>
              </w:rPr>
              <w:t xml:space="preserve"> kg per 100 m² (for joint finishing)</w:t>
            </w:r>
          </w:p>
        </w:tc>
      </w:tr>
      <w:tr w14:paraId="1ED3D1B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703FAF15">
            <w:pPr>
              <w:spacing w:before="120" w:after="120" w:line="288" w:lineRule="auto"/>
              <w:ind w:left="0"/>
              <w:jc w:val="left"/>
            </w:pPr>
            <w:r>
              <w:rPr>
                <w:rFonts w:ascii="Arial" w:hAnsi="Arial" w:eastAsia="等线" w:cs="Arial"/>
                <w:sz w:val="22"/>
              </w:rPr>
              <w:t>Packaging</w:t>
            </w:r>
          </w:p>
        </w:tc>
        <w:tc>
          <w:tcPr>
            <w:tcW w:w="5625" w:type="dxa"/>
            <w:tcMar>
              <w:top w:w="60" w:type="dxa"/>
              <w:left w:w="120" w:type="dxa"/>
              <w:bottom w:w="30" w:type="dxa"/>
              <w:right w:w="120" w:type="dxa"/>
            </w:tcMar>
          </w:tcPr>
          <w:p w14:paraId="6B02B756">
            <w:pPr>
              <w:spacing w:before="120" w:after="120" w:line="288" w:lineRule="auto"/>
              <w:ind w:left="0"/>
              <w:jc w:val="left"/>
            </w:pPr>
            <w:r>
              <w:rPr>
                <w:rFonts w:ascii="Arial" w:hAnsi="Arial" w:eastAsia="等线" w:cs="Arial"/>
                <w:sz w:val="22"/>
              </w:rPr>
              <w:t>15 kg Re-sealable pail</w:t>
            </w:r>
          </w:p>
        </w:tc>
      </w:tr>
      <w:tr w14:paraId="2589F39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7CE5D03F">
            <w:pPr>
              <w:spacing w:before="120" w:after="120" w:line="288" w:lineRule="auto"/>
              <w:ind w:left="0"/>
              <w:jc w:val="left"/>
            </w:pPr>
            <w:r>
              <w:rPr>
                <w:rFonts w:ascii="Arial" w:hAnsi="Arial" w:eastAsia="等线" w:cs="Arial"/>
                <w:sz w:val="22"/>
              </w:rPr>
              <w:t>Shelf Life</w:t>
            </w:r>
          </w:p>
        </w:tc>
        <w:tc>
          <w:tcPr>
            <w:tcW w:w="5625" w:type="dxa"/>
            <w:tcMar>
              <w:top w:w="60" w:type="dxa"/>
              <w:left w:w="120" w:type="dxa"/>
              <w:bottom w:w="30" w:type="dxa"/>
              <w:right w:w="120" w:type="dxa"/>
            </w:tcMar>
          </w:tcPr>
          <w:p w14:paraId="7DFC77B1">
            <w:pPr>
              <w:spacing w:before="120" w:after="120" w:line="288" w:lineRule="auto"/>
              <w:ind w:left="0"/>
              <w:jc w:val="left"/>
            </w:pPr>
            <w:r>
              <w:rPr>
                <w:rFonts w:ascii="Arial" w:hAnsi="Arial" w:eastAsia="等线" w:cs="Arial"/>
                <w:sz w:val="22"/>
              </w:rPr>
              <w:t>12 months from date of manufacture</w:t>
            </w:r>
          </w:p>
        </w:tc>
      </w:tr>
      <w:tr w14:paraId="657759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41D97ED3">
            <w:pPr>
              <w:spacing w:before="120" w:after="120" w:line="288" w:lineRule="auto"/>
              <w:ind w:left="0"/>
              <w:jc w:val="left"/>
            </w:pPr>
            <w:r>
              <w:rPr>
                <w:rFonts w:ascii="Arial" w:hAnsi="Arial" w:eastAsia="等线" w:cs="Arial"/>
                <w:sz w:val="22"/>
              </w:rPr>
              <w:t>Specific Gravity</w:t>
            </w:r>
          </w:p>
        </w:tc>
        <w:tc>
          <w:tcPr>
            <w:tcW w:w="5625" w:type="dxa"/>
            <w:tcMar>
              <w:top w:w="60" w:type="dxa"/>
              <w:left w:w="120" w:type="dxa"/>
              <w:bottom w:w="30" w:type="dxa"/>
              <w:right w:w="120" w:type="dxa"/>
            </w:tcMar>
          </w:tcPr>
          <w:p w14:paraId="55F079EC">
            <w:pPr>
              <w:spacing w:before="120" w:after="120" w:line="288" w:lineRule="auto"/>
              <w:ind w:left="0"/>
              <w:jc w:val="left"/>
            </w:pPr>
            <w:r>
              <w:rPr>
                <w:rFonts w:ascii="Arial" w:hAnsi="Arial" w:eastAsia="等线" w:cs="Arial"/>
                <w:sz w:val="22"/>
              </w:rPr>
              <w:t>1.2 - 1.6</w:t>
            </w:r>
          </w:p>
        </w:tc>
      </w:tr>
      <w:tr w14:paraId="3413ABE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2479243C">
            <w:pPr>
              <w:spacing w:before="120" w:after="120" w:line="288" w:lineRule="auto"/>
              <w:ind w:left="0"/>
              <w:jc w:val="left"/>
            </w:pPr>
            <w:r>
              <w:rPr>
                <w:rFonts w:ascii="Arial" w:hAnsi="Arial" w:eastAsia="等线" w:cs="Arial"/>
                <w:sz w:val="22"/>
              </w:rPr>
              <w:t>VOC Content</w:t>
            </w:r>
          </w:p>
        </w:tc>
        <w:tc>
          <w:tcPr>
            <w:tcW w:w="5625" w:type="dxa"/>
            <w:tcMar>
              <w:top w:w="60" w:type="dxa"/>
              <w:left w:w="120" w:type="dxa"/>
              <w:bottom w:w="30" w:type="dxa"/>
              <w:right w:w="120" w:type="dxa"/>
            </w:tcMar>
          </w:tcPr>
          <w:p w14:paraId="4470593B">
            <w:pPr>
              <w:spacing w:before="120" w:after="120" w:line="288" w:lineRule="auto"/>
              <w:ind w:left="0"/>
              <w:jc w:val="left"/>
            </w:pPr>
            <w:r>
              <w:rPr>
                <w:rFonts w:ascii="Arial" w:hAnsi="Arial" w:eastAsia="等线" w:cs="Arial"/>
                <w:sz w:val="22"/>
              </w:rPr>
              <w:t>Less than 1 g/L</w:t>
            </w:r>
          </w:p>
        </w:tc>
      </w:tr>
      <w:tr w14:paraId="31D382F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5E9A3768">
            <w:pPr>
              <w:spacing w:before="120" w:after="120" w:line="288" w:lineRule="auto"/>
              <w:ind w:left="0"/>
              <w:jc w:val="left"/>
            </w:pPr>
            <w:r>
              <w:rPr>
                <w:rFonts w:ascii="Arial" w:hAnsi="Arial" w:eastAsia="等线" w:cs="Arial"/>
                <w:sz w:val="22"/>
              </w:rPr>
              <w:t>Drying Time</w:t>
            </w:r>
          </w:p>
        </w:tc>
        <w:tc>
          <w:tcPr>
            <w:tcW w:w="5625" w:type="dxa"/>
            <w:tcMar>
              <w:top w:w="60" w:type="dxa"/>
              <w:left w:w="120" w:type="dxa"/>
              <w:bottom w:w="30" w:type="dxa"/>
              <w:right w:w="120" w:type="dxa"/>
            </w:tcMar>
          </w:tcPr>
          <w:p w14:paraId="49B2E846">
            <w:pPr>
              <w:spacing w:before="120" w:after="120" w:line="288" w:lineRule="auto"/>
              <w:ind w:left="0"/>
              <w:jc w:val="left"/>
            </w:pPr>
            <w:r>
              <w:rPr>
                <w:rFonts w:ascii="Arial" w:hAnsi="Arial" w:eastAsia="等线" w:cs="Arial"/>
                <w:sz w:val="22"/>
              </w:rPr>
              <w:t>Approximately 24 hours at 20°C and 50% RH</w:t>
            </w:r>
          </w:p>
        </w:tc>
      </w:tr>
      <w:tr w14:paraId="306F5D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655" w:type="dxa"/>
            <w:tcMar>
              <w:top w:w="60" w:type="dxa"/>
              <w:left w:w="120" w:type="dxa"/>
              <w:bottom w:w="30" w:type="dxa"/>
              <w:right w:w="120" w:type="dxa"/>
            </w:tcMar>
          </w:tcPr>
          <w:p w14:paraId="5E497745">
            <w:pPr>
              <w:spacing w:before="120" w:after="120" w:line="288" w:lineRule="auto"/>
              <w:ind w:left="0"/>
              <w:jc w:val="left"/>
            </w:pPr>
            <w:r>
              <w:rPr>
                <w:rFonts w:ascii="Arial" w:hAnsi="Arial" w:eastAsia="等线" w:cs="Arial"/>
                <w:sz w:val="22"/>
              </w:rPr>
              <w:t>Application Temperature</w:t>
            </w:r>
          </w:p>
        </w:tc>
        <w:tc>
          <w:tcPr>
            <w:tcW w:w="5625" w:type="dxa"/>
            <w:tcMar>
              <w:top w:w="60" w:type="dxa"/>
              <w:left w:w="120" w:type="dxa"/>
              <w:bottom w:w="30" w:type="dxa"/>
              <w:right w:w="120" w:type="dxa"/>
            </w:tcMar>
          </w:tcPr>
          <w:p w14:paraId="58D81440">
            <w:pPr>
              <w:spacing w:before="120" w:after="120" w:line="288" w:lineRule="auto"/>
              <w:ind w:left="0"/>
              <w:jc w:val="left"/>
            </w:pPr>
            <w:r>
              <w:rPr>
                <w:rFonts w:ascii="Arial" w:hAnsi="Arial" w:eastAsia="等线" w:cs="Arial"/>
                <w:sz w:val="22"/>
              </w:rPr>
              <w:t xml:space="preserve">Minimum </w:t>
            </w:r>
            <w:r>
              <w:rPr>
                <w:rFonts w:hint="eastAsia" w:ascii="Arial" w:hAnsi="Arial" w:eastAsia="等线" w:cs="Arial"/>
                <w:sz w:val="22"/>
                <w:lang w:val="en-US" w:eastAsia="zh-CN"/>
              </w:rPr>
              <w:t>8</w:t>
            </w:r>
            <w:r>
              <w:rPr>
                <w:rFonts w:ascii="Arial" w:hAnsi="Arial" w:eastAsia="等线" w:cs="Arial"/>
                <w:sz w:val="22"/>
              </w:rPr>
              <w:t xml:space="preserve">°C </w:t>
            </w:r>
          </w:p>
        </w:tc>
      </w:tr>
    </w:tbl>
    <w:p w14:paraId="7A6D8610">
      <w:pPr>
        <w:spacing w:before="380" w:after="140" w:line="288" w:lineRule="auto"/>
        <w:ind w:left="0"/>
        <w:jc w:val="left"/>
        <w:outlineLvl w:val="0"/>
      </w:pPr>
      <w:bookmarkStart w:id="6" w:name="heading_6"/>
      <w:r>
        <w:rPr>
          <w:rFonts w:ascii="Arial" w:hAnsi="Arial" w:eastAsia="等线" w:cs="Arial"/>
          <w:b/>
          <w:sz w:val="36"/>
        </w:rPr>
        <w:t>Application Instructions</w:t>
      </w:r>
      <w:bookmarkEnd w:id="6"/>
    </w:p>
    <w:p w14:paraId="39027F95">
      <w:pPr>
        <w:spacing w:before="320" w:after="120" w:line="288" w:lineRule="auto"/>
        <w:ind w:left="0"/>
        <w:jc w:val="left"/>
        <w:outlineLvl w:val="1"/>
      </w:pPr>
      <w:bookmarkStart w:id="7" w:name="heading_7"/>
      <w:r>
        <w:rPr>
          <w:rFonts w:ascii="Arial" w:hAnsi="Arial" w:eastAsia="等线" w:cs="Arial"/>
          <w:b/>
          <w:sz w:val="32"/>
        </w:rPr>
        <w:t>Hand Application</w:t>
      </w:r>
      <w:bookmarkEnd w:id="7"/>
    </w:p>
    <w:p w14:paraId="056A4737">
      <w:pPr>
        <w:numPr>
          <w:numId w:val="0"/>
        </w:numPr>
        <w:spacing w:before="120" w:after="120" w:line="288" w:lineRule="auto"/>
        <w:jc w:val="left"/>
      </w:pPr>
      <w:r>
        <w:rPr>
          <w:rFonts w:hint="eastAsia" w:ascii="Arial" w:hAnsi="Arial" w:eastAsia="等线" w:cs="Arial"/>
          <w:sz w:val="22"/>
          <w:lang w:val="en-US" w:eastAsia="zh-CN"/>
        </w:rPr>
        <w:t>1、</w:t>
      </w:r>
      <w:r>
        <w:rPr>
          <w:rFonts w:ascii="Arial" w:hAnsi="Arial" w:eastAsia="等线" w:cs="Arial"/>
          <w:sz w:val="22"/>
        </w:rPr>
        <w:t>Allow adequate time for the second coat to harden completely before applying the Lonzone Topping Compound final coat.</w:t>
      </w:r>
    </w:p>
    <w:p w14:paraId="006E64BD">
      <w:pPr>
        <w:numPr>
          <w:numId w:val="0"/>
        </w:numPr>
        <w:spacing w:before="120" w:after="120" w:line="288" w:lineRule="auto"/>
        <w:jc w:val="left"/>
      </w:pPr>
      <w:r>
        <w:rPr>
          <w:rFonts w:hint="eastAsia" w:ascii="Arial" w:hAnsi="Arial" w:eastAsia="等线" w:cs="Arial"/>
          <w:sz w:val="22"/>
          <w:lang w:val="en-US" w:eastAsia="zh-CN"/>
        </w:rPr>
        <w:t>2、</w:t>
      </w:r>
      <w:r>
        <w:rPr>
          <w:rFonts w:ascii="Arial" w:hAnsi="Arial" w:eastAsia="等线" w:cs="Arial"/>
          <w:sz w:val="22"/>
        </w:rPr>
        <w:t>Using a 250mm or 300mm broadknife, apply a thin topping coat wide enough to conceal the previously coated joint. Feather the edges of the compound with a trowel for a seamless finish.</w:t>
      </w:r>
    </w:p>
    <w:p w14:paraId="3C9B39FC">
      <w:pPr>
        <w:numPr>
          <w:numId w:val="0"/>
        </w:numPr>
        <w:spacing w:before="120" w:after="120" w:line="288" w:lineRule="auto"/>
        <w:jc w:val="left"/>
      </w:pPr>
      <w:r>
        <w:rPr>
          <w:rFonts w:hint="eastAsia" w:ascii="Arial" w:hAnsi="Arial" w:eastAsia="等线" w:cs="Arial"/>
          <w:sz w:val="22"/>
          <w:lang w:val="en-US" w:eastAsia="zh-CN"/>
        </w:rPr>
        <w:t>3、</w:t>
      </w:r>
      <w:r>
        <w:rPr>
          <w:rFonts w:ascii="Arial" w:hAnsi="Arial" w:eastAsia="等线" w:cs="Arial"/>
          <w:sz w:val="22"/>
        </w:rPr>
        <w:t>Using a 100mm broadknife, cover previously coated fastener heads, overlapping about 25mm beyond the fastener area.</w:t>
      </w:r>
    </w:p>
    <w:p w14:paraId="058E0800">
      <w:pPr>
        <w:numPr>
          <w:numId w:val="0"/>
        </w:numPr>
        <w:spacing w:before="120" w:after="120" w:line="288" w:lineRule="auto"/>
        <w:jc w:val="left"/>
      </w:pPr>
      <w:r>
        <w:rPr>
          <w:rFonts w:hint="eastAsia" w:ascii="Arial" w:hAnsi="Arial" w:eastAsia="等线" w:cs="Arial"/>
          <w:sz w:val="22"/>
          <w:lang w:val="en-US" w:eastAsia="zh-CN"/>
        </w:rPr>
        <w:t>4、</w:t>
      </w:r>
      <w:r>
        <w:rPr>
          <w:rFonts w:ascii="Arial" w:hAnsi="Arial" w:eastAsia="等线" w:cs="Arial"/>
          <w:sz w:val="22"/>
        </w:rPr>
        <w:t>For internal angles, apply compound to both sides of the corner using a corner trowel.</w:t>
      </w:r>
    </w:p>
    <w:p w14:paraId="03F005A6">
      <w:pPr>
        <w:spacing w:before="320" w:after="120" w:line="288" w:lineRule="auto"/>
        <w:ind w:left="0"/>
        <w:jc w:val="left"/>
        <w:outlineLvl w:val="1"/>
      </w:pPr>
      <w:bookmarkStart w:id="8" w:name="heading_8"/>
      <w:r>
        <w:rPr>
          <w:rFonts w:ascii="Arial" w:hAnsi="Arial" w:eastAsia="等线" w:cs="Arial"/>
          <w:b/>
          <w:sz w:val="32"/>
        </w:rPr>
        <w:t>Machine Application</w:t>
      </w:r>
      <w:bookmarkEnd w:id="8"/>
    </w:p>
    <w:p w14:paraId="5FDC21D5">
      <w:pPr>
        <w:spacing w:before="120" w:after="120" w:line="288" w:lineRule="auto"/>
        <w:ind w:left="0"/>
        <w:jc w:val="both"/>
      </w:pPr>
      <w:r>
        <w:rPr>
          <w:rFonts w:ascii="Arial" w:hAnsi="Arial" w:eastAsia="等线" w:cs="Arial"/>
          <w:sz w:val="22"/>
        </w:rPr>
        <w:t>Apply a thin topping coat of Lonzone Topping Compound using a 250mm or 300mm finishing box. Adjust box pressure to achieve a uniform thin coat. For best results, maintain consistent speed and pressure during application.</w:t>
      </w:r>
    </w:p>
    <w:p w14:paraId="5755AC62">
      <w:pPr>
        <w:spacing w:before="380" w:after="140" w:line="288" w:lineRule="auto"/>
        <w:ind w:left="0"/>
        <w:jc w:val="left"/>
        <w:outlineLvl w:val="0"/>
      </w:pPr>
      <w:bookmarkStart w:id="9" w:name="heading_9"/>
      <w:r>
        <w:rPr>
          <w:rFonts w:ascii="Arial" w:hAnsi="Arial" w:eastAsia="等线" w:cs="Arial"/>
          <w:b/>
          <w:sz w:val="36"/>
        </w:rPr>
        <w:t>Sanding</w:t>
      </w:r>
      <w:bookmarkEnd w:id="9"/>
    </w:p>
    <w:p w14:paraId="7882B9DE">
      <w:pPr>
        <w:spacing w:before="120" w:after="120" w:line="288" w:lineRule="auto"/>
        <w:ind w:left="0"/>
        <w:jc w:val="both"/>
      </w:pPr>
      <w:r>
        <w:rPr>
          <w:rFonts w:ascii="Arial" w:hAnsi="Arial" w:eastAsia="等线" w:cs="Arial"/>
          <w:sz w:val="22"/>
        </w:rPr>
        <w:t>Allow Lonzone Topping Compound to dry for at least 24 hours before sanding. Sand to a smooth finish using 180 grit sandpaper or 180-220 grit sanding mesh. For professional results, use a pole sander with gentle, even pressure. Always wear appropriate respiratory protection during sanding operations.</w:t>
      </w:r>
    </w:p>
    <w:p w14:paraId="7EC6B199">
      <w:pPr>
        <w:spacing w:before="380" w:after="140" w:line="288" w:lineRule="auto"/>
        <w:ind w:left="0"/>
        <w:jc w:val="left"/>
        <w:outlineLvl w:val="0"/>
      </w:pPr>
      <w:bookmarkStart w:id="10" w:name="heading_10"/>
      <w:r>
        <w:rPr>
          <w:rFonts w:ascii="Arial" w:hAnsi="Arial" w:eastAsia="等线" w:cs="Arial"/>
          <w:b/>
          <w:sz w:val="36"/>
        </w:rPr>
        <w:t>Painting</w:t>
      </w:r>
      <w:bookmarkEnd w:id="10"/>
    </w:p>
    <w:p w14:paraId="36D42852">
      <w:pPr>
        <w:spacing w:before="120" w:after="120" w:line="288" w:lineRule="auto"/>
        <w:ind w:left="0"/>
        <w:jc w:val="both"/>
      </w:pPr>
      <w:r>
        <w:rPr>
          <w:rFonts w:ascii="Arial" w:hAnsi="Arial" w:eastAsia="等线" w:cs="Arial"/>
          <w:sz w:val="22"/>
        </w:rPr>
        <w:t>Apply all paints in accordance with the paint manufacturer recommendations. Ensure the surface is completely dry, clean, and free of dust before applying primer or paint. Lonzone Topping Compound provides an excellent base for all types of interior paints.</w:t>
      </w:r>
    </w:p>
    <w:p w14:paraId="2C144EF1">
      <w:pPr>
        <w:spacing w:before="380" w:after="140" w:line="288" w:lineRule="auto"/>
        <w:ind w:left="0"/>
        <w:jc w:val="left"/>
        <w:outlineLvl w:val="0"/>
      </w:pPr>
      <w:bookmarkStart w:id="11" w:name="heading_11"/>
      <w:r>
        <w:rPr>
          <w:rFonts w:ascii="Arial" w:hAnsi="Arial" w:eastAsia="等线" w:cs="Arial"/>
          <w:b/>
          <w:sz w:val="36"/>
        </w:rPr>
        <w:t>Standards Compliance</w:t>
      </w:r>
      <w:bookmarkEnd w:id="11"/>
    </w:p>
    <w:p w14:paraId="263857A9">
      <w:pPr>
        <w:spacing w:before="120" w:after="120" w:line="288" w:lineRule="auto"/>
        <w:ind w:left="0"/>
        <w:jc w:val="both"/>
      </w:pPr>
      <w:r>
        <w:rPr>
          <w:rFonts w:ascii="Arial" w:hAnsi="Arial" w:eastAsia="等线" w:cs="Arial"/>
          <w:sz w:val="22"/>
        </w:rPr>
        <w:t>Lonzone Topping Compound meets or exceeds the requirements of applicable industry standards for drywall finishing compounds. For specific certification details or test reports, please contact our technical support team.</w:t>
      </w:r>
    </w:p>
    <w:p w14:paraId="22E5C5DD">
      <w:pPr>
        <w:spacing w:before="380" w:after="140" w:line="288" w:lineRule="auto"/>
        <w:ind w:left="0"/>
        <w:jc w:val="left"/>
        <w:outlineLvl w:val="0"/>
      </w:pPr>
      <w:bookmarkStart w:id="12" w:name="heading_12"/>
      <w:r>
        <w:rPr>
          <w:rFonts w:ascii="Arial" w:hAnsi="Arial" w:eastAsia="等线" w:cs="Arial"/>
          <w:b/>
          <w:sz w:val="36"/>
        </w:rPr>
        <w:t>Health and Safety</w:t>
      </w:r>
      <w:bookmarkEnd w:id="12"/>
    </w:p>
    <w:p w14:paraId="5069AC4E">
      <w:pPr>
        <w:spacing w:before="120" w:after="120" w:line="288" w:lineRule="auto"/>
        <w:ind w:left="0"/>
        <w:jc w:val="left"/>
      </w:pPr>
      <w:r>
        <w:rPr>
          <w:rFonts w:ascii="Arial" w:hAnsi="Arial" w:eastAsia="等线" w:cs="Arial"/>
          <w:sz w:val="22"/>
        </w:rPr>
        <w:t>Refer to the Safety Data Sheet (SDS) for this product for detailed health and safety information. Always use appropriate personal protective equipment (PPE) including eye protection and gloves. Ensure adequate ventilation during application and sanding. Avoid contact with eyes and prolonged skin contact. Keep out of reach of children.</w:t>
      </w:r>
    </w:p>
    <w:p w14:paraId="0B4A63DC">
      <w:pPr>
        <w:spacing w:before="120" w:after="120" w:line="288" w:lineRule="auto"/>
        <w:ind w:left="0"/>
        <w:jc w:val="left"/>
      </w:pPr>
      <w:r>
        <w:rPr>
          <w:rFonts w:ascii="Arial" w:hAnsi="Arial" w:eastAsia="等线" w:cs="Arial"/>
          <w:sz w:val="22"/>
        </w:rPr>
        <w:t>For SDS requests or health and safety inquiries, contact:</w:t>
      </w:r>
    </w:p>
    <w:p w14:paraId="02AF15E0">
      <w:pPr>
        <w:spacing w:before="120" w:after="120" w:line="288" w:lineRule="auto"/>
        <w:ind w:left="0"/>
        <w:jc w:val="left"/>
        <w:rPr>
          <w:rFonts w:hint="eastAsia" w:eastAsia="等线"/>
          <w:lang w:val="en-US" w:eastAsia="zh-CN"/>
        </w:rPr>
      </w:pPr>
      <w:r>
        <w:rPr>
          <w:rFonts w:ascii="Arial" w:hAnsi="Arial" w:eastAsia="等线" w:cs="Arial"/>
          <w:sz w:val="22"/>
        </w:rPr>
        <w:t>Lonzone Technical Department</w:t>
      </w:r>
      <w:r>
        <w:rPr>
          <w:rFonts w:ascii="Arial" w:hAnsi="Arial" w:eastAsia="等线" w:cs="Arial"/>
          <w:sz w:val="22"/>
        </w:rPr>
        <w:br w:type="textWrapping"/>
      </w:r>
      <w:r>
        <w:rPr>
          <w:rFonts w:ascii="Arial" w:hAnsi="Arial" w:eastAsia="等线" w:cs="Arial"/>
          <w:sz w:val="22"/>
        </w:rPr>
        <w:t xml:space="preserve">Email: </w:t>
      </w:r>
      <w:r>
        <w:rPr>
          <w:rFonts w:hint="eastAsia" w:ascii="Arial" w:hAnsi="Arial" w:eastAsia="等线" w:cs="Arial"/>
          <w:sz w:val="22"/>
          <w:lang w:val="en-US" w:eastAsia="zh-CN"/>
        </w:rPr>
        <w:t xml:space="preserve"> </w:t>
      </w:r>
      <w:r>
        <w:rPr>
          <w:rFonts w:ascii="Arial" w:hAnsi="Arial" w:eastAsia="等线" w:cs="Arial"/>
          <w:sz w:val="22"/>
        </w:rPr>
        <w:br w:type="textWrapping"/>
      </w:r>
      <w:r>
        <w:rPr>
          <w:rFonts w:ascii="Arial" w:hAnsi="Arial" w:eastAsia="等线" w:cs="Arial"/>
          <w:sz w:val="22"/>
        </w:rPr>
        <w:t xml:space="preserve">Phone: </w:t>
      </w:r>
      <w:r>
        <w:rPr>
          <w:rFonts w:hint="eastAsia" w:ascii="Arial" w:hAnsi="Arial" w:eastAsia="等线" w:cs="Arial"/>
          <w:sz w:val="22"/>
          <w:lang w:val="en-US" w:eastAsia="zh-CN"/>
        </w:rPr>
        <w:t xml:space="preserve"> </w:t>
      </w:r>
    </w:p>
    <w:p w14:paraId="62897569">
      <w:pPr>
        <w:spacing w:before="380" w:after="140" w:line="288" w:lineRule="auto"/>
        <w:ind w:left="0"/>
        <w:jc w:val="left"/>
        <w:outlineLvl w:val="0"/>
      </w:pPr>
      <w:bookmarkStart w:id="13" w:name="heading_13"/>
      <w:r>
        <w:rPr>
          <w:rFonts w:ascii="Arial" w:hAnsi="Arial" w:eastAsia="等线" w:cs="Arial"/>
          <w:b/>
          <w:sz w:val="36"/>
        </w:rPr>
        <w:t>Technical Support</w:t>
      </w:r>
      <w:bookmarkEnd w:id="13"/>
    </w:p>
    <w:p w14:paraId="75995DFA">
      <w:pPr>
        <w:spacing w:before="120" w:after="120" w:line="288" w:lineRule="auto"/>
        <w:ind w:left="0"/>
        <w:jc w:val="left"/>
      </w:pPr>
      <w:r>
        <w:rPr>
          <w:rFonts w:ascii="Arial" w:hAnsi="Arial" w:eastAsia="等线" w:cs="Arial"/>
          <w:sz w:val="22"/>
        </w:rPr>
        <w:t>For further information on this product or for technical support, please contact our customer service team:</w:t>
      </w:r>
    </w:p>
    <w:p w14:paraId="32668EE0">
      <w:pPr>
        <w:spacing w:before="120" w:after="120" w:line="288" w:lineRule="auto"/>
        <w:ind w:left="0"/>
        <w:jc w:val="left"/>
        <w:rPr>
          <w:rFonts w:ascii="Arial" w:hAnsi="Arial" w:eastAsia="等线" w:cs="Arial"/>
          <w:sz w:val="22"/>
        </w:rPr>
      </w:pPr>
      <w:r>
        <w:rPr>
          <w:rFonts w:hint="eastAsia" w:ascii="Arial"/>
          <w:sz w:val="20"/>
          <w:lang w:eastAsia="zh-CN"/>
        </w:rPr>
        <w:t>LONZONE</w:t>
      </w:r>
      <w:r>
        <w:rPr>
          <w:rFonts w:ascii="Arial"/>
          <w:sz w:val="20"/>
          <w:lang w:eastAsia="zh-CN"/>
        </w:rPr>
        <w:t xml:space="preserve"> </w:t>
      </w:r>
      <w:r>
        <w:rPr>
          <w:rFonts w:hint="eastAsia" w:ascii="Arial"/>
          <w:sz w:val="20"/>
          <w:lang w:eastAsia="zh-CN"/>
        </w:rPr>
        <w:t xml:space="preserve">Environmental Protection (Suzhou) Co., Ltd </w:t>
      </w:r>
      <w:r>
        <w:rPr>
          <w:rFonts w:ascii="Arial" w:hAnsi="Arial" w:eastAsia="等线" w:cs="Arial"/>
          <w:sz w:val="22"/>
        </w:rPr>
        <w:br w:type="textWrapping"/>
      </w:r>
      <w:r>
        <w:rPr>
          <w:rFonts w:ascii="Arial" w:hAnsi="Arial" w:eastAsia="等线" w:cs="Arial"/>
          <w:sz w:val="22"/>
        </w:rPr>
        <w:t xml:space="preserve">Website: </w:t>
      </w:r>
    </w:p>
    <w:p w14:paraId="01567711">
      <w:pPr>
        <w:spacing w:before="120" w:after="120" w:line="288" w:lineRule="auto"/>
        <w:ind w:left="0"/>
        <w:jc w:val="left"/>
        <w:rPr>
          <w:rFonts w:ascii="Arial" w:hAnsi="Arial" w:eastAsia="等线" w:cs="Arial"/>
          <w:sz w:val="22"/>
        </w:rPr>
      </w:pPr>
      <w:r>
        <w:rPr>
          <w:rFonts w:ascii="Arial" w:hAnsi="Arial" w:eastAsia="等线" w:cs="Arial"/>
          <w:sz w:val="22"/>
        </w:rPr>
        <w:t xml:space="preserve">Email: </w:t>
      </w:r>
    </w:p>
    <w:p w14:paraId="4944C2F1">
      <w:pPr>
        <w:spacing w:before="120" w:after="120" w:line="288" w:lineRule="auto"/>
        <w:ind w:left="0"/>
        <w:jc w:val="left"/>
      </w:pPr>
      <w:r>
        <w:rPr>
          <w:rFonts w:ascii="Arial" w:hAnsi="Arial" w:eastAsia="等线" w:cs="Arial"/>
          <w:sz w:val="22"/>
        </w:rPr>
        <w:t xml:space="preserve">Customer Service: </w:t>
      </w:r>
    </w:p>
    <w:tbl>
      <w:tblPr>
        <w:tblStyle w:val="2"/>
        <w:tblW w:w="0" w:type="auto"/>
        <w:tblInd w:w="0" w:type="dxa"/>
        <w:tblBorders>
          <w:top w:val="single" w:color="82A7FC" w:sz="0" w:space="0"/>
          <w:left w:val="single" w:color="82A7FC" w:sz="0" w:space="0"/>
          <w:bottom w:val="single" w:color="82A7FC" w:sz="0" w:space="0"/>
          <w:right w:val="single" w:color="82A7FC" w:sz="0" w:space="0"/>
          <w:insideH w:val="single" w:color="82A7FC" w:sz="0" w:space="0"/>
          <w:insideV w:val="single" w:color="82A7FC" w:sz="0" w:space="0"/>
        </w:tblBorders>
        <w:tblLayout w:type="fixed"/>
        <w:tblCellMar>
          <w:top w:w="0" w:type="dxa"/>
          <w:left w:w="10" w:type="dxa"/>
          <w:bottom w:w="0" w:type="dxa"/>
          <w:right w:w="10" w:type="dxa"/>
        </w:tblCellMar>
      </w:tblPr>
      <w:tblGrid>
        <w:gridCol w:w="8280"/>
      </w:tblGrid>
      <w:tr w14:paraId="3AB8BC65">
        <w:tblPrEx>
          <w:tblBorders>
            <w:top w:val="single" w:color="82A7FC" w:sz="0" w:space="0"/>
            <w:left w:val="single" w:color="82A7FC" w:sz="0" w:space="0"/>
            <w:bottom w:val="single" w:color="82A7FC" w:sz="0" w:space="0"/>
            <w:right w:val="single" w:color="82A7FC" w:sz="0" w:space="0"/>
            <w:insideH w:val="single" w:color="82A7FC" w:sz="0" w:space="0"/>
            <w:insideV w:val="single" w:color="82A7FC" w:sz="0" w:space="0"/>
          </w:tblBorders>
        </w:tblPrEx>
        <w:tc>
          <w:tcPr>
            <w:tcW w:w="8280" w:type="dxa"/>
            <w:shd w:val="clear" w:color="auto" w:fill="F0F4FF"/>
            <w:tcMar>
              <w:top w:w="60" w:type="dxa"/>
              <w:left w:w="120" w:type="dxa"/>
              <w:bottom w:w="30" w:type="dxa"/>
              <w:right w:w="120" w:type="dxa"/>
            </w:tcMar>
          </w:tcPr>
          <w:p w14:paraId="40A50564">
            <w:pPr>
              <w:spacing w:before="120" w:after="120" w:line="288" w:lineRule="auto"/>
              <w:ind w:left="0"/>
              <w:jc w:val="left"/>
            </w:pPr>
            <w:r>
              <w:rPr>
                <w:rFonts w:ascii="Arial" w:hAnsi="Arial" w:eastAsia="等线" w:cs="Arial"/>
                <w:sz w:val="22"/>
              </w:rPr>
              <w:t>For optimal performance, use Lonzone Topping Compound as part of a complete Lonzone drywall finishing system, including Lonzone Base Coat Compound and Lonzone Joint Tape.</w:t>
            </w:r>
          </w:p>
        </w:tc>
      </w:tr>
    </w:tbl>
    <w:p w14:paraId="48A6D8CF">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68D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B2F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0"/>
      <w:numFmt w:val="bullet"/>
      <w:lvlText w:val="•"/>
      <w:lvlJc w:val="left"/>
      <w:rPr>
        <w:color w:val="3370FF"/>
      </w:rPr>
    </w:lvl>
  </w:abstractNum>
  <w:abstractNum w:abstractNumId="1">
    <w:nsid w:val="B5E306ED"/>
    <w:multiLevelType w:val="singleLevel"/>
    <w:tmpl w:val="B5E306ED"/>
    <w:lvl w:ilvl="0" w:tentative="0">
      <w:start w:val="0"/>
      <w:numFmt w:val="bullet"/>
      <w:lvlText w:val="•"/>
      <w:lvlJc w:val="left"/>
      <w:rPr>
        <w:color w:val="3370FF"/>
      </w:rPr>
    </w:lvl>
  </w:abstractNum>
  <w:abstractNum w:abstractNumId="2">
    <w:nsid w:val="BF205925"/>
    <w:multiLevelType w:val="singleLevel"/>
    <w:tmpl w:val="BF205925"/>
    <w:lvl w:ilvl="0" w:tentative="0">
      <w:start w:val="0"/>
      <w:numFmt w:val="bullet"/>
      <w:lvlText w:val="•"/>
      <w:lvlJc w:val="left"/>
      <w:rPr>
        <w:color w:val="3370FF"/>
      </w:rPr>
    </w:lvl>
  </w:abstractNum>
  <w:abstractNum w:abstractNumId="3">
    <w:nsid w:val="C8879AEF"/>
    <w:multiLevelType w:val="singleLevel"/>
    <w:tmpl w:val="C8879AEF"/>
    <w:lvl w:ilvl="0" w:tentative="0">
      <w:start w:val="0"/>
      <w:numFmt w:val="bullet"/>
      <w:lvlText w:val="•"/>
      <w:lvlJc w:val="left"/>
      <w:rPr>
        <w:color w:val="3370FF"/>
      </w:rPr>
    </w:lvl>
  </w:abstractNum>
  <w:abstractNum w:abstractNumId="4">
    <w:nsid w:val="CF092B84"/>
    <w:multiLevelType w:val="singleLevel"/>
    <w:tmpl w:val="CF092B84"/>
    <w:lvl w:ilvl="0" w:tentative="0">
      <w:start w:val="0"/>
      <w:numFmt w:val="bullet"/>
      <w:lvlText w:val="•"/>
      <w:lvlJc w:val="left"/>
      <w:rPr>
        <w:color w:val="3370FF"/>
      </w:rPr>
    </w:lvl>
  </w:abstractNum>
  <w:abstractNum w:abstractNumId="5">
    <w:nsid w:val="F4B5D9F5"/>
    <w:multiLevelType w:val="singleLevel"/>
    <w:tmpl w:val="F4B5D9F5"/>
    <w:lvl w:ilvl="0" w:tentative="0">
      <w:start w:val="0"/>
      <w:numFmt w:val="bullet"/>
      <w:lvlText w:val="•"/>
      <w:lvlJc w:val="left"/>
      <w:rPr>
        <w:color w:val="3370FF"/>
      </w:rPr>
    </w:lvl>
  </w:abstractNum>
  <w:abstractNum w:abstractNumId="6">
    <w:nsid w:val="0053208E"/>
    <w:multiLevelType w:val="singleLevel"/>
    <w:tmpl w:val="0053208E"/>
    <w:lvl w:ilvl="0" w:tentative="0">
      <w:start w:val="0"/>
      <w:numFmt w:val="bullet"/>
      <w:lvlText w:val="•"/>
      <w:lvlJc w:val="left"/>
      <w:rPr>
        <w:color w:val="3370FF"/>
      </w:rPr>
    </w:lvl>
  </w:abstractNum>
  <w:abstractNum w:abstractNumId="7">
    <w:nsid w:val="0248C179"/>
    <w:multiLevelType w:val="singleLevel"/>
    <w:tmpl w:val="0248C179"/>
    <w:lvl w:ilvl="0" w:tentative="0">
      <w:start w:val="0"/>
      <w:numFmt w:val="bullet"/>
      <w:lvlText w:val="•"/>
      <w:lvlJc w:val="left"/>
      <w:rPr>
        <w:color w:val="3370FF"/>
      </w:rPr>
    </w:lvl>
  </w:abstractNum>
  <w:abstractNum w:abstractNumId="8">
    <w:nsid w:val="03D62ECE"/>
    <w:multiLevelType w:val="singleLevel"/>
    <w:tmpl w:val="03D62ECE"/>
    <w:lvl w:ilvl="0" w:tentative="0">
      <w:start w:val="0"/>
      <w:numFmt w:val="bullet"/>
      <w:lvlText w:val="•"/>
      <w:lvlJc w:val="left"/>
      <w:rPr>
        <w:color w:val="3370FF"/>
      </w:rPr>
    </w:lvl>
  </w:abstractNum>
  <w:abstractNum w:abstractNumId="9">
    <w:nsid w:val="2470EC97"/>
    <w:multiLevelType w:val="singleLevel"/>
    <w:tmpl w:val="2470EC97"/>
    <w:lvl w:ilvl="0" w:tentative="0">
      <w:start w:val="0"/>
      <w:numFmt w:val="bullet"/>
      <w:lvlText w:val="•"/>
      <w:lvlJc w:val="left"/>
      <w:rPr>
        <w:color w:val="3370FF"/>
      </w:rPr>
    </w:lvl>
  </w:abstractNum>
  <w:abstractNum w:abstractNumId="10">
    <w:nsid w:val="25B654F3"/>
    <w:multiLevelType w:val="singleLevel"/>
    <w:tmpl w:val="25B654F3"/>
    <w:lvl w:ilvl="0" w:tentative="0">
      <w:start w:val="0"/>
      <w:numFmt w:val="bullet"/>
      <w:lvlText w:val="•"/>
      <w:lvlJc w:val="left"/>
      <w:rPr>
        <w:color w:val="3370FF"/>
      </w:rPr>
    </w:lvl>
  </w:abstractNum>
  <w:abstractNum w:abstractNumId="11">
    <w:nsid w:val="2A8F537B"/>
    <w:multiLevelType w:val="singleLevel"/>
    <w:tmpl w:val="2A8F537B"/>
    <w:lvl w:ilvl="0" w:tentative="0">
      <w:start w:val="0"/>
      <w:numFmt w:val="bullet"/>
      <w:lvlText w:val="•"/>
      <w:lvlJc w:val="left"/>
      <w:rPr>
        <w:color w:val="3370FF"/>
      </w:rPr>
    </w:lvl>
  </w:abstractNum>
  <w:abstractNum w:abstractNumId="12">
    <w:nsid w:val="4D4DC07F"/>
    <w:multiLevelType w:val="singleLevel"/>
    <w:tmpl w:val="4D4DC07F"/>
    <w:lvl w:ilvl="0" w:tentative="0">
      <w:start w:val="0"/>
      <w:numFmt w:val="bullet"/>
      <w:lvlText w:val="•"/>
      <w:lvlJc w:val="left"/>
      <w:rPr>
        <w:color w:val="3370FF"/>
      </w:rPr>
    </w:lvl>
  </w:abstractNum>
  <w:abstractNum w:abstractNumId="13">
    <w:nsid w:val="59ADCABA"/>
    <w:multiLevelType w:val="singleLevel"/>
    <w:tmpl w:val="59ADCABA"/>
    <w:lvl w:ilvl="0" w:tentative="0">
      <w:start w:val="0"/>
      <w:numFmt w:val="bullet"/>
      <w:lvlText w:val="•"/>
      <w:lvlJc w:val="left"/>
      <w:rPr>
        <w:color w:val="3370FF"/>
      </w:rPr>
    </w:lvl>
  </w:abstractNum>
  <w:abstractNum w:abstractNumId="14">
    <w:nsid w:val="5A241D34"/>
    <w:multiLevelType w:val="singleLevel"/>
    <w:tmpl w:val="5A241D34"/>
    <w:lvl w:ilvl="0" w:tentative="0">
      <w:start w:val="0"/>
      <w:numFmt w:val="bullet"/>
      <w:lvlText w:val="•"/>
      <w:lvlJc w:val="left"/>
      <w:rPr>
        <w:color w:val="3370FF"/>
      </w:rPr>
    </w:lvl>
  </w:abstractNum>
  <w:abstractNum w:abstractNumId="15">
    <w:nsid w:val="72183CF9"/>
    <w:multiLevelType w:val="singleLevel"/>
    <w:tmpl w:val="72183CF9"/>
    <w:lvl w:ilvl="0" w:tentative="0">
      <w:start w:val="0"/>
      <w:numFmt w:val="bullet"/>
      <w:lvlText w:val="•"/>
      <w:lvlJc w:val="left"/>
      <w:rPr>
        <w:color w:val="3370FF"/>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91440"/>
    <w:rsid w:val="0CD65E68"/>
    <w:rsid w:val="138C7166"/>
    <w:rsid w:val="152E4A94"/>
    <w:rsid w:val="29B26C6C"/>
    <w:rsid w:val="2B404781"/>
    <w:rsid w:val="539D0113"/>
    <w:rsid w:val="5E3656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809</Words>
  <Characters>4558</Characters>
  <TotalTime>9</TotalTime>
  <ScaleCrop>false</ScaleCrop>
  <LinksUpToDate>false</LinksUpToDate>
  <CharactersWithSpaces>5281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2026-07-27T02:56:00Z</dcterms:created>
  <dc:creator>Apache POI</dc:creator>
  <cp:lastModifiedBy>茗薇丫头</cp:lastModifiedBy>
  <dcterms:modified xsi:type="dcterms:W3CDTF">2026-07-27T03:36:41Z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{"Label":"1","ContentProducer":"001191110102MACQD9K64010000","ProduceID":"7667036272573451209","ReservedCode1":"","ContentPropagator":"","PropagateID":"","ReservedCode2":""}</vt:lpwstr>
  </property>
  <property fmtid="{D5CDD505-2E9C-101B-9397-08002B2CF9AE}" pid="3" name="KSOTemplateDocerSaveRecord">
    <vt:lpwstr>eyJoZGlkIjoiN2U4ZjZmMzg5N2YxNmFkMjRjZTExYTFjZGNmMzYwYmMiLCJ1c2VySWQiOiI5NDUzNjA0NDAifQ==</vt:lpwstr>
  </property>
  <property fmtid="{D5CDD505-2E9C-101B-9397-08002B2CF9AE}" pid="4" name="KSOProductBuildVer">
    <vt:lpwstr>2052-12.1.0.26895</vt:lpwstr>
  </property>
  <property fmtid="{D5CDD505-2E9C-101B-9397-08002B2CF9AE}" pid="5" name="ICV">
    <vt:lpwstr>3F29A9D1D36443A6A1DD5E281C993B56_13</vt:lpwstr>
  </property>
</Properties>
</file>